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6F" w:rsidRDefault="00F65A6F" w:rsidP="00F65A6F">
      <w:pPr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附件1：</w:t>
      </w:r>
    </w:p>
    <w:p w:rsidR="00F65A6F" w:rsidRDefault="00F65A6F" w:rsidP="00F65A6F">
      <w:pPr>
        <w:jc w:val="center"/>
        <w:rPr>
          <w:rFonts w:ascii="方正小标宋简体" w:eastAsia="方正小标宋简体" w:hAnsi="方正小标宋简体"/>
          <w:sz w:val="36"/>
          <w:szCs w:val="32"/>
        </w:rPr>
      </w:pPr>
    </w:p>
    <w:p w:rsidR="00F65A6F" w:rsidRDefault="00F65A6F" w:rsidP="00F65A6F">
      <w:pPr>
        <w:jc w:val="center"/>
        <w:rPr>
          <w:rFonts w:ascii="Adobe 黑体 Std R" w:eastAsia="Adobe 黑体 Std R" w:hAnsi="Adobe 黑体 Std R"/>
          <w:b/>
          <w:sz w:val="44"/>
          <w:szCs w:val="44"/>
        </w:rPr>
      </w:pPr>
      <w:r>
        <w:rPr>
          <w:rFonts w:ascii="Adobe 黑体 Std R" w:eastAsia="Adobe 黑体 Std R" w:hAnsi="Adobe 黑体 Std R" w:hint="eastAsia"/>
          <w:b/>
          <w:sz w:val="44"/>
          <w:szCs w:val="44"/>
        </w:rPr>
        <w:t>2016年云南农业大学学生工作研究项目</w:t>
      </w:r>
    </w:p>
    <w:p w:rsidR="00F65A6F" w:rsidRDefault="00F65A6F" w:rsidP="00F65A6F">
      <w:pPr>
        <w:jc w:val="center"/>
        <w:rPr>
          <w:rFonts w:ascii="Adobe 黑体 Std R" w:eastAsia="Adobe 黑体 Std R" w:hAnsi="Adobe 黑体 Std R"/>
          <w:b/>
          <w:sz w:val="44"/>
          <w:szCs w:val="44"/>
        </w:rPr>
      </w:pPr>
      <w:r>
        <w:rPr>
          <w:rFonts w:ascii="Adobe 黑体 Std R" w:eastAsia="Adobe 黑体 Std R" w:hAnsi="Adobe 黑体 Std R" w:hint="eastAsia"/>
          <w:b/>
          <w:sz w:val="44"/>
          <w:szCs w:val="44"/>
        </w:rPr>
        <w:t>课题指南</w:t>
      </w:r>
    </w:p>
    <w:p w:rsidR="00F65A6F" w:rsidRDefault="00F65A6F" w:rsidP="00F65A6F">
      <w:pPr>
        <w:jc w:val="center"/>
        <w:rPr>
          <w:rFonts w:ascii="Adobe 黑体 Std R" w:eastAsia="Adobe 黑体 Std R" w:hAnsi="Adobe 黑体 Std R"/>
          <w:b/>
          <w:bCs/>
          <w:sz w:val="44"/>
          <w:szCs w:val="44"/>
        </w:rPr>
      </w:pPr>
    </w:p>
    <w:p w:rsidR="00F65A6F" w:rsidRDefault="00F65A6F" w:rsidP="00F65A6F">
      <w:pPr>
        <w:spacing w:line="560" w:lineRule="exact"/>
        <w:ind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本指南围绕学生工作中的重点难点问题拟定了选题，研究项目名称由项目申请者在指南范围内自行确定，研究内容宜小宜实，</w:t>
      </w:r>
      <w:r>
        <w:rPr>
          <w:rFonts w:ascii="Courier New" w:eastAsia="仿宋_GB2312" w:hAnsi="Courier New" w:cs="仿宋_GB2312" w:hint="eastAsia"/>
          <w:sz w:val="32"/>
          <w:szCs w:val="32"/>
        </w:rPr>
        <w:t>理论研究要力求具有原创性、开拓性和学术思想价值，应用</w:t>
      </w:r>
      <w:r>
        <w:rPr>
          <w:rFonts w:ascii="宋体" w:eastAsia="仿宋_GB2312" w:hAnsi="宋体" w:cs="仿宋_GB2312" w:hint="eastAsia"/>
          <w:sz w:val="32"/>
          <w:szCs w:val="32"/>
        </w:rPr>
        <w:t>研究要具有现实性、针对性和较强的决策参考价值。加</w:t>
      </w: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※为重点项目课题指南，其余为一般项目课题指南。</w:t>
      </w:r>
    </w:p>
    <w:p w:rsidR="00F65A6F" w:rsidRDefault="00F65A6F" w:rsidP="00F65A6F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</w:p>
    <w:p w:rsidR="00F65A6F" w:rsidRDefault="00F65A6F" w:rsidP="00F65A6F">
      <w:pPr>
        <w:shd w:val="clear" w:color="000000" w:fill="FFFFFF"/>
        <w:spacing w:line="560" w:lineRule="exact"/>
        <w:ind w:left="420" w:hanging="42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黑体" w:hint="eastAsia"/>
          <w:color w:val="333333"/>
          <w:sz w:val="32"/>
          <w:szCs w:val="32"/>
        </w:rPr>
        <w:t xml:space="preserve">    一、大学生思想政治教育</w:t>
      </w:r>
    </w:p>
    <w:p w:rsidR="00F65A6F" w:rsidRDefault="00F65A6F" w:rsidP="00F65A6F">
      <w:pPr>
        <w:shd w:val="clear" w:color="000000" w:fill="FFFFFF"/>
        <w:spacing w:line="560" w:lineRule="exact"/>
        <w:ind w:firstLine="32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※1.中华优秀传统文化融入大学生思想政治教育研究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2.大学生文明礼仪修养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3.高校网络文化与大学生核心价值观培育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4.当代大学生审美教育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5.大学生社会责任感培养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6.大学生网络生活状况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7.高校学生网络组织管理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8.思想政治教育进高校学生宿舍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黑体" w:hint="eastAsia"/>
          <w:color w:val="333333"/>
          <w:sz w:val="32"/>
          <w:szCs w:val="32"/>
        </w:rPr>
        <w:t>二、日常教育管理</w:t>
      </w:r>
    </w:p>
    <w:p w:rsidR="00F65A6F" w:rsidRDefault="00F65A6F" w:rsidP="00F65A6F">
      <w:pPr>
        <w:shd w:val="clear" w:color="000000" w:fill="FFFFFF"/>
        <w:spacing w:line="560" w:lineRule="exact"/>
        <w:ind w:firstLine="32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※1.高校学生教育管理中的法律问题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2.大学生法制教育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lastRenderedPageBreak/>
        <w:t>3.外国留学生教育管理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4.90后大学生人际交往观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5．第一代大学生社会适应性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6.高校学生校外兼职风险规避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7.</w:t>
      </w:r>
      <w:hyperlink r:id="rId6" w:history="1">
        <w:r>
          <w:rPr>
            <w:rFonts w:ascii="仿宋_GB2312" w:eastAsia="仿宋_GB2312" w:hAnsi="仿宋_GB2312" w:cs="仿宋" w:hint="eastAsia"/>
            <w:sz w:val="32"/>
            <w:szCs w:val="32"/>
          </w:rPr>
          <w:t>主题班会的内容及组织形式创新</w:t>
        </w:r>
      </w:hyperlink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研究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黑体" w:hint="eastAsia"/>
          <w:color w:val="333333"/>
          <w:sz w:val="32"/>
          <w:szCs w:val="32"/>
        </w:rPr>
        <w:t>三、学生工作队伍建设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1.学生工作者科研能力提升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2.高校辅导员与专业课教师协同育人研究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3.学生工作者团队文化建设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4.《高等学校辅导员职业能力标准（暂行）》实施路径研究</w:t>
      </w:r>
    </w:p>
    <w:p w:rsidR="00F65A6F" w:rsidRDefault="00F65A6F" w:rsidP="00F65A6F">
      <w:pPr>
        <w:shd w:val="clear" w:color="000000" w:fill="FFFFFF"/>
        <w:spacing w:line="560" w:lineRule="exact"/>
        <w:ind w:firstLine="32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※5.辅导员、班主任队伍现状调查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黑体" w:hint="eastAsia"/>
          <w:color w:val="333333"/>
          <w:sz w:val="32"/>
          <w:szCs w:val="32"/>
        </w:rPr>
        <w:t>四、其他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1.高校学生宿舍特色文化建设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2.大学生宿舍人际关系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3.高校班级文化建设</w:t>
      </w:r>
    </w:p>
    <w:p w:rsidR="00F65A6F" w:rsidRDefault="00F65A6F" w:rsidP="00F65A6F">
      <w:pPr>
        <w:shd w:val="clear" w:color="000000" w:fill="FFFFFF"/>
        <w:spacing w:line="560" w:lineRule="exact"/>
        <w:ind w:firstLine="640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" w:hint="eastAsia"/>
          <w:color w:val="333333"/>
          <w:sz w:val="32"/>
          <w:szCs w:val="32"/>
        </w:rPr>
        <w:t>4.高校社团文化建设</w:t>
      </w:r>
    </w:p>
    <w:p w:rsidR="00F65A6F" w:rsidRDefault="00F65A6F" w:rsidP="00F65A6F">
      <w:pPr>
        <w:shd w:val="clear" w:color="000000" w:fill="FFFFFF"/>
        <w:spacing w:after="225" w:line="560" w:lineRule="exact"/>
        <w:ind w:firstLine="640"/>
        <w:jc w:val="left"/>
        <w:rPr>
          <w:rFonts w:ascii="仿宋" w:eastAsia="Times New Roman" w:hAnsi="仿宋"/>
          <w:color w:val="333333"/>
          <w:sz w:val="32"/>
          <w:szCs w:val="32"/>
        </w:rPr>
      </w:pPr>
      <w:r>
        <w:rPr>
          <w:rFonts w:ascii="仿宋_GB2312" w:eastAsia="仿宋_GB2312" w:hAnsi="仿宋_GB2312" w:cs="黑体" w:hint="eastAsia"/>
          <w:color w:val="333333"/>
          <w:sz w:val="32"/>
          <w:szCs w:val="32"/>
        </w:rPr>
        <w:t>5、大学生心理健康教育</w:t>
      </w:r>
    </w:p>
    <w:p w:rsidR="002B5E54" w:rsidRPr="00F65A6F" w:rsidRDefault="002B5E54"/>
    <w:sectPr w:rsidR="002B5E54" w:rsidRPr="00F6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54" w:rsidRDefault="002B5E54" w:rsidP="00F65A6F">
      <w:r>
        <w:separator/>
      </w:r>
    </w:p>
  </w:endnote>
  <w:endnote w:type="continuationSeparator" w:id="1">
    <w:p w:rsidR="002B5E54" w:rsidRDefault="002B5E54" w:rsidP="00F6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Meiryo"/>
    <w:charset w:val="86"/>
    <w:family w:val="auto"/>
    <w:pitch w:val="default"/>
    <w:sig w:usb0="00000000" w:usb1="00000000" w:usb2="00000000" w:usb3="00000000" w:csb0="00000000" w:csb1="00000000"/>
  </w:font>
  <w:font w:name="Adobe 黑体 Std R">
    <w:altName w:val="宋体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54" w:rsidRDefault="002B5E54" w:rsidP="00F65A6F">
      <w:r>
        <w:separator/>
      </w:r>
    </w:p>
  </w:footnote>
  <w:footnote w:type="continuationSeparator" w:id="1">
    <w:p w:rsidR="002B5E54" w:rsidRDefault="002B5E54" w:rsidP="00F65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6F"/>
    <w:rsid w:val="002B5E54"/>
    <w:rsid w:val="00F6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6F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b.cnki.net/kns/detail/detail.aspx?QueryID=11&amp;CurRec=174&amp;recid=&amp;FileName=CAIZ200923016&amp;DbName=CJFD2009&amp;DbCode=CJFQ&amp;pr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2016-04-01T09:26:00Z</dcterms:created>
  <dcterms:modified xsi:type="dcterms:W3CDTF">2016-04-01T09:26:00Z</dcterms:modified>
</cp:coreProperties>
</file>